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Стоматология ортопедическая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23.07.2026, 02:58 МСК · База обновлена: 23.07.2026, 02:55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1001" w:name="case_0001"/>
      <w:r>
        <w:t>Ситуационная задача 0001</w:t>
      </w:r>
      <w:bookmarkEnd w:id="1001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Стоматология ортопедическая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 П. 38 лет обратился в ортопедическое отделение стоматологической поликлиники.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</w:t>
      </w:r>
    </w:p>
    <w:p>
      <w:pPr>
        <w:spacing w:after="58"/>
      </w:pPr>
      <w:r>
        <w:rPr>
          <w:b w:val="0"/>
          <w:i w:val="0"/>
        </w:rPr>
        <w:t>* задержку пищи между зубами 3.6 и 3.7,</w:t>
      </w:r>
    </w:p>
    <w:p>
      <w:pPr>
        <w:spacing w:after="58"/>
      </w:pPr>
      <w:r>
        <w:rPr>
          <w:b w:val="0"/>
          <w:i w:val="0"/>
        </w:rPr>
        <w:t>* болезненность зуба 3.6 при накусывании.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Более трех лет назад зуб 3.6 лечен по поводу пульпита, около месяца назад во время приема пищи и при накусывании на зуб появились боли.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Не курит, алкоголем не злоупотребляет.</w:t>
      </w:r>
    </w:p>
    <w:p>
      <w:pPr>
        <w:spacing w:after="58"/>
      </w:pPr>
      <w:r>
        <w:rPr>
          <w:b w:val="0"/>
          <w:i w:val="0"/>
        </w:rPr>
        <w:t>* Профессиональных вредностей не имеет.</w:t>
      </w:r>
    </w:p>
    <w:p>
      <w:pPr>
        <w:spacing w:after="58"/>
      </w:pPr>
      <w:r>
        <w:rPr>
          <w:b w:val="0"/>
          <w:i w:val="0"/>
        </w:rPr>
        <w:t>* Хронические заболевания отрицает.</w:t>
      </w:r>
    </w:p>
    <w:p>
      <w:pPr>
        <w:spacing w:after="58"/>
      </w:pPr>
      <w:r>
        <w:rPr>
          <w:b w:val="0"/>
          <w:i w:val="0"/>
        </w:rPr>
        <w:t>* Аллергические реакции отрицает.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*Внешний осмотр:* состояние удовлетворительное.</w:t>
      </w:r>
    </w:p>
    <w:p>
      <w:pPr>
        <w:spacing w:after="58"/>
      </w:pPr>
      <w:r>
        <w:rPr>
          <w:b w:val="0"/>
          <w:i w:val="0"/>
        </w:rPr>
        <w:t>Конфигурация лица не изменена. Кожные покровы чистые. Открывание рта свободное, в полном объёме. Регионарные лимфоузлы не увеличены, безболезненные, мягко-эластичной консистенции, не спаяны с окружающими тканями.</w:t>
      </w:r>
    </w:p>
    <w:p>
      <w:pPr>
        <w:spacing w:after="58"/>
      </w:pPr>
      <w:r>
        <w:rPr>
          <w:b w:val="0"/>
          <w:i w:val="0"/>
        </w:rPr>
        <w:t>*Локальный статус:* на жевательной поверхности зуба 3.6 пломба средних размеров с переходом на дистальную контактную поверхность, реакция на температурные раздражители безболезненная. Слизистая оболочка переходной складки в области корней розовая, умеренно увлажнена. Рот санирован.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Инструментальным методом диагностики, необходимым в предлагаемой клинической ситуации,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витальное окрашивание зуба 3.6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определение Индекса нуждаемости в лечении болезней пародонта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перкуссия зуба 3.6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люминесцентный метод зуба 3.6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перкуссия зуба 3.6</w:t>
      </w:r>
    </w:p>
    <w:p>
      <w:pPr>
        <w:ind w:left="504"/>
      </w:pPr>
      <w:r>
        <w:rPr>
          <w:b w:val="0"/>
          <w:i/>
        </w:rPr>
        <w:t>В связи с жалобами, данными анамнеза (потерей зубов от подвижности) при осмотре необходимо проводить инструментальное обследование Перкуссия зубов (А02.07.007)</w:t>
        <w:br/>
        <w:br/>
        <w:t>Клинические рекомендации (протоколы лечения) при диагнозе болезни периапикальных тканей. Утверждены Постановлением № 18 Совета Ассоциации общественных объединений «Стоматологическая Ассоциация России» от 30 сентября 2014 года, актуализированы 02 августа 2018 года</w:t>
        <w:br/>
        <w:br/>
      </w:r>
      <w:hyperlink r:id="rId20">
        <w:r>
          <w:rPr>
            <w:color w:val="173C49"/>
            <w:u w:val="single"/>
          </w:rPr>
          <w:t>КЛИНИЧЕСКИЕ РЕКОМЕНДАЦИИ (ПРОТОКОЛЫ ЛЕЧЕНИЯ) ПРИ ДИАГНОЗЕ БОЛЕЗНИ ПЕРИАПИКАЛЬНЫХ ТКАНЕЙ. Утверждены Постановлением № 18 Совета Ассоциации общественных объединений «Стоматологическая Ассоциация России» от 30 сентября 2014 года, актуализированы 02 августа 2018 года</w:t>
        </w:r>
      </w:hyperlink>
      <w:r>
        <w:rPr>
          <w:b w:val="0"/>
          <w:i/>
        </w:rPr>
        <w:t xml:space="preserve"> </w:t>
      </w:r>
      <w:hyperlink r:id="rId2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В данном клиническом случае пациенту рекомендован вид рентгеновской визуализации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телерентгенография (ТРГ)  в боковой проекции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рентгенография придаточных пазух носа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обзорная рентгенография черепа в носоподбородочной проекции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прицельная внутриротовая контактная рентгенография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прицельная внутриротовая контактная рентгенография</w:t>
      </w:r>
    </w:p>
    <w:p>
      <w:pPr>
        <w:ind w:left="504"/>
      </w:pPr>
      <w:r>
        <w:rPr>
          <w:b w:val="0"/>
          <w:i/>
        </w:rPr>
        <w:t>При диагностике необходимо учитывать результаты рентгенологического исследования имеющихся зубов, в особенности планируемых под опоры.</w:t>
        <w:br/>
        <w:br/>
        <w:t>Клинические рекомендации (протоколы лечения) при диагнозе болезни периапикальных тканей. Утверждены Постановлением № 18 Совета Ассоциации общественных объединений «Стоматологическая Ассоциация России» от 30 сентября 2014 года, актуализированы 02 августа 2018 года.</w:t>
        <w:br/>
        <w:br/>
      </w:r>
      <w:hyperlink r:id="rId20">
        <w:r>
          <w:rPr>
            <w:color w:val="173C49"/>
            <w:u w:val="single"/>
          </w:rPr>
          <w:t>КЛИНИЧЕСКИЕ РЕКОМЕНДАЦИИ (ПРОТОКОЛЫ ЛЕЧЕНИЯ) ПРИ ДИАГНОЗЕ БОЛЕЗНИ ПЕРИАПИКАЛЬНЫХ ТКАНЕЙ. Утверждены Постановлением № 18 Совета Ассоциации общественных объединений «Стоматологическая Ассоциация России» от 30 сентября 2014 года, актуализированы 02 августа 2018 года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Дополнительным методом диагностики в данной клинической ситуации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гнатодинамометрия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электроодонтодиагностика зуба 3.6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аксиография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электромиография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электроодонтодиагностика зуба 3.6</w:t>
      </w:r>
    </w:p>
    <w:p>
      <w:pPr>
        <w:ind w:left="504"/>
      </w:pPr>
      <w:r>
        <w:rPr>
          <w:b w:val="0"/>
          <w:i/>
        </w:rPr>
        <w:t>Клиническая картина периодонтита.</w:t>
        <w:br/>
        <w:br/>
        <w:t>Клинические рекомендации (протоколы лечения) при диагнозе болезни периапикальных тканей. Утверждены Постановлением № 18 Совета Ассоциации общественных объединений «Стоматологическая Ассоциация России» от 30 сентября 2014 года, актуализированы 02 августа 2018 года.</w:t>
        <w:br/>
        <w:br/>
      </w:r>
      <w:hyperlink r:id="rId20">
        <w:r>
          <w:rPr>
            <w:color w:val="173C49"/>
            <w:u w:val="single"/>
          </w:rPr>
          <w:t>КЛИНИЧЕСКИЕ РЕКОМЕНДАЦИИ (ПРОТОКОЛЫ ЛЕЧЕНИЯ) ПРИ ДИАГНОЗЕ БОЛЕЗНИ ПЕРИАПИКАЛЬНЫХ ТКАНЕЙ. Утверждены Постановлением № 18 Совета Ассоциации общественных объединений «Стоматологическая Ассоциация России» от 30 сентября 2014 года, актуализированы 02 августа 2018 года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Предполагаемым диагнозом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Эксфолиация зубов вследствие системных нарушений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Повышенное стирание зубов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Хронический апикальный периодонтит зуба 3.6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Изменение зубов и их опорного аппарата неуточненное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Хронический апикальный периодонтит зуба 3.6</w:t>
      </w:r>
    </w:p>
    <w:p>
      <w:pPr>
        <w:ind w:left="504"/>
      </w:pPr>
      <w:r>
        <w:rPr>
          <w:b w:val="0"/>
          <w:i/>
        </w:rPr>
        <w:t>Хронические формы периодонтита могут протекать бессимптомно.</w:t>
        <w:br/>
        <w:br/>
        <w:t>Клинические рекомендации (протоколы лечения) при диагнозе болезни периапикальных тканей. Утверждены Постановлением № 18 Совета Ассоциации общественных объединений «Стоматологическая Ассоциация России» от 30 сентября 2014 года.</w:t>
        <w:br/>
        <w:br/>
      </w:r>
      <w:hyperlink r:id="rId20">
        <w:r>
          <w:rPr>
            <w:color w:val="173C49"/>
            <w:u w:val="single"/>
          </w:rPr>
          <w:t>КЛИНИЧЕСКИЕ РЕКОМЕНДАЦИИ (ПРОТОКОЛЫ ЛЕЧЕНИЯ) ПРИ ДИАГНОЗЕ БОЛЕЗНИ ПЕРИАПИКАЛЬНЫХ ТКАНЕЙ. Утверждены Постановлением № 18 Совета Ассоциации общественных объединений «Стоматологическая Ассоциация России» от 30 сентября 2014 года, актуализированы 02 августа 2018 года</w:t>
        </w:r>
      </w:hyperlink>
      <w:r>
        <w:rPr>
          <w:b w:val="0"/>
          <w:i/>
        </w:rPr>
        <w:t xml:space="preserve"> </w:t>
      </w:r>
      <w:hyperlink r:id="rId2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Предполагаемым ИРОПЗ зуба 3.6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ровно 55,5%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&gt;0,8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&gt;0,4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менее 50%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&gt;0,8</w:t>
      </w:r>
    </w:p>
    <w:p>
      <w:pPr>
        <w:ind w:left="504"/>
      </w:pPr>
      <w:r>
        <w:rPr>
          <w:b w:val="0"/>
          <w:i/>
        </w:rPr>
        <w:t>Методика расчета и применения ИРОПЗ в стоматологии.</w:t>
        <w:br/>
        <w:br/>
        <w:t>Ортопедическая стоматология (несъемное зубное протезирование): учебник /  О. Р. Курбанов, А. И. Абдурахманов, С. И. Абакаров - М. : ГЭОТАР-Медиа, 2015, С. 31-32.</w:t>
      </w:r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При ортопедическом лечении в данном клиническом случае протезирование должно выполнять +_____________+ функцию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логопедическую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профилактическую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замещающую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эстетическую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замещающую</w:t>
      </w:r>
    </w:p>
    <w:p>
      <w:pPr>
        <w:ind w:left="504"/>
      </w:pPr>
      <w:r>
        <w:rPr>
          <w:b w:val="0"/>
          <w:i/>
        </w:rPr>
        <w:t>Методы протезирования позволяют восстановить основную функцию зубочелюстной системы: пережевывание пищи.</w:t>
        <w:br/>
        <w:br/>
      </w:r>
      <w:hyperlink r:id="rId27">
        <w:r>
          <w:rPr>
            <w:color w:val="173C49"/>
            <w:u w:val="single"/>
          </w:rPr>
          <w:t>КЛИНИЧЕСКИЕ РЕКОМЕНДАЦИИ (ПРОТОКОЛЫ ЛЕЧЕНИЯ) ПРИ ДИАГНОЗЕ ЧАСТИЧНОЕ ОТСУТСТВИЕ ЗУБОВ (ЧАСТИЧНАЯ ВТОРИЧНАЯ АДЕНТИЯ, ПОТЕРЯ ЗУБОВ ВСЛЕДСТВИЕ НЕСЧАСТНО ГО СЛУЧАЯ, УДАЛЕНИЯ ИЛИ ЛОКАЛИЗОВАННОГО ПАРОДОНТИТА)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Ортопедическая стоматология: Национальное руководство / под ред. И.Ю. Лебеденко, С.Д. Арутюнова, А.Н. Ряховского, 2016, С. 272.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Восстановление зуба 3.6 в данной клинической ситуации целесообразнее провести с помощью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изготовления вкладки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метода пломбирования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литой культевой штифтовой вкладки и металлокерамической коронки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изготовления  металлокерамической коронки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литой культевой штифтовой вкладки и металлокерамической коронки</w:t>
      </w:r>
    </w:p>
    <w:p>
      <w:pPr>
        <w:ind w:left="504"/>
      </w:pPr>
      <w:r>
        <w:rPr>
          <w:b w:val="0"/>
          <w:i/>
        </w:rPr>
        <w:t>Клинические рекомендации (протоколы лечения) при диагнозе болезни периапикальных тканей. Утверждены Постановлением № 18 Совета Ассоциации общественных объединений «Стоматологическая Ассоциация России» от 30 сентября 2014 года, актуализированы 02 августа 2018 года</w:t>
        <w:br/>
        <w:br/>
      </w:r>
      <w:hyperlink r:id="rId20">
        <w:r>
          <w:rPr>
            <w:color w:val="173C49"/>
            <w:u w:val="single"/>
          </w:rPr>
          <w:t>КЛИНИЧЕСКИЕ РЕКОМЕНДАЦИИ (ПРОТОКОЛЫ ЛЕЧЕНИЯ) ПРИ ДИАГНОЗЕ БОЛЕЗНИ ПЕРИАПИКАЛЬНЫХ ТКАНЕЙ. Утверждены Постановлением № 18 Совета Ассоциации общественных объединений «Стоматологическая Ассоциация России» от 30 сентября 2014 года, актуализированы 02 августа 2018 года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К требованию по длине внутрикорневой части литой культевой штифтовой вкладке зуба 3.6 относят +________+ длины корня зуба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2/3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4/5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3/4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1/3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2/3</w:t>
      </w:r>
    </w:p>
    <w:p>
      <w:pPr>
        <w:ind w:left="504"/>
      </w:pPr>
      <w:r>
        <w:rPr>
          <w:b w:val="0"/>
          <w:i/>
        </w:rPr>
        <w:t>Клинические рекомендации (протоколы лечения) при диагнозе болезни периапикальных тканей. Утверждены Постановлением № 18 Совета Ассоциации общественных объединений «Стоматологическая Ассоциация России» от 30 сентября 2014 года, актуализированы 02 августа 2018 года</w:t>
        <w:br/>
        <w:br/>
      </w:r>
      <w:hyperlink r:id="rId20">
        <w:r>
          <w:rPr>
            <w:color w:val="173C49"/>
            <w:u w:val="single"/>
          </w:rPr>
          <w:t>КЛИНИЧЕСКИЕ РЕКОМЕНДАЦИИ (ПРОТОКОЛЫ ЛЕЧЕНИЯ) ПРИ ДИАГНОЗЕ БОЛЕЗНИ ПЕРИАПИКАЛЬНЫХ ТКАНЕЙ. Утверждены Постановлением № 18 Совета Ассоциации общественных объединений «Стоматологическая Ассоциация России» от 30 сентября 2014 года, актуализированы 02 августа 2018 года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Наиболее подходящим в данном клиническом случае облицовочным материалом для искусственной коронки на зуб 3.6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пластмасса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композиционный материал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никелид титана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керамический материал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керамический материал</w:t>
      </w:r>
    </w:p>
    <w:p>
      <w:pPr>
        <w:ind w:left="504"/>
      </w:pPr>
      <w:r>
        <w:rPr>
          <w:b w:val="0"/>
          <w:i/>
        </w:rPr>
        <w:t>Керамика в стоматологии - очень популярный материал, поскольку позволяет изготавливать зубные протезы, неотличимые по своему виду от естественных зубов.</w:t>
        <w:br/>
        <w:br/>
        <w:t>Ортопедическая стоматология: национальное руководство / под ред. И.Ю. Лебеденко, С.Д. Арутюнова, А.Н. Ряховского. - М. : ГЭОТАР-Медиа, 2016 С.651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Перед протезированием зуба 3.6 необходимо провести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пломбирование каналов зуба 3.6 (эндодонтическое перелечивание зуба)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резекцию верхушек корней зуба 3.6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гемисекцию зуба 3.6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проводниковую анестезию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пломбирование каналов зуба 3.6 (эндодонтическое перелечивание зуба)</w:t>
      </w:r>
    </w:p>
    <w:p>
      <w:pPr>
        <w:ind w:left="504"/>
      </w:pPr>
      <w:r>
        <w:rPr>
          <w:b w:val="0"/>
          <w:i/>
        </w:rPr>
        <w:t>Целью пломбирования является достижение обтурации канала до апикального отверстия или физиологического сужения корня и предотвращение повторного инфицирования канала микроорганизмами. Пломбировать корневой канал можно в том случае, если отсутствуют болевые симптомы, выделение экссудата, чувствительность при перкуссии. Предварительно необходимо изолировать зуб от слюны.</w:t>
        <w:br/>
        <w:br/>
        <w:t>Клинические рекомендации (протоколы лечения) при диагнозе болезни периапикальных тканей. Утверждены Постановлением № 18 Совета Ассоциации общественных объединений «Стоматологическая Ассоциация России» от 30 сентября 2014 года, актуализированы 02 августа 2018</w:t>
        <w:br/>
        <w:br/>
      </w:r>
      <w:hyperlink r:id="rId20">
        <w:r>
          <w:rPr>
            <w:color w:val="173C49"/>
            <w:u w:val="single"/>
          </w:rPr>
          <w:t>КЛИНИЧЕСКИЕ РЕКОМЕНДАЦИИ (ПРОТОКОЛЫ ЛЕЧЕНИЯ) ПРИ ДИАГНОЗЕ БОЛЕЗНИ ПЕРИАПИКАЛЬНЫХ ТКАНЕЙ. Утверждены Постановлением № 18 Совета Ассоциации общественных объединений «Стоматологическая Ассоциация России» от 30 сентября 2014 года, актуализированы 02 августа 2018 года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Каковы требования к диетическим назначениям и ограничениям в данном клиническом случае?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отказ от кариесогенных продуктов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отказ от вязкой пищи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отказ от использования очень жесткой пищи, требующей пережевывания твердых кусков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специальных требований нет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специальных требований нет</w:t>
      </w:r>
    </w:p>
    <w:p>
      <w:pPr>
        <w:ind w:left="504"/>
      </w:pPr>
      <w:r>
        <w:rPr>
          <w:b w:val="0"/>
          <w:i/>
        </w:rPr>
        <w:t>7.2.11. Требования к диетическим назначениям и ограничениям</w:t>
        <w:br/>
        <w:t>Специальных требований нет.</w:t>
        <w:br/>
        <w:br/>
        <w:t>Клинические рекомендации (протоколы лечения) при диагнозе болезни периапикальных тканей. Утверждены Постановлением № 18 Совета Ассоциации общественных объединений «Стоматологическая Ассоциация России» от 30 сентября 2014 года, актуализированы 02 августа 2018</w:t>
        <w:br/>
        <w:br/>
      </w:r>
      <w:hyperlink r:id="rId20">
        <w:r>
          <w:rPr>
            <w:color w:val="173C49"/>
            <w:u w:val="single"/>
          </w:rPr>
          <w:t>КЛИНИЧЕСКИЕ РЕКОМЕНДАЦИИ (ПРОТОКОЛЫ ЛЕЧЕНИЯ) ПРИ ДИАГНОЗЕ БОЛЕЗНИ ПЕРИАПИКАЛЬНЫХ ТКАНЕЙ. Утверждены Постановлением № 18 Совета Ассоциации общественных объединений «Стоматологическая Ассоциация России» от 30 сентября 2014 года, актуализированы 02 августа 2018 года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Наибольшей вероятностью возможного исхода в данной клинической ситуации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развитие нового заболевания, связанного с основным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развитие ятрогенных осложнений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компенсация функции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стабилизация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компенсация функции</w:t>
      </w:r>
    </w:p>
    <w:p>
      <w:pPr>
        <w:ind w:left="504"/>
      </w:pPr>
      <w:r>
        <w:rPr>
          <w:b w:val="0"/>
          <w:i/>
        </w:rPr>
        <w:t>7.2.15. Возможные исходы и их характеристики</w:t>
        <w:br/>
        <w:br/>
        <w:t>Исход: Компенсация функции</w:t>
        <w:br/>
        <w:br/>
        <w:t>Частота развития, %: 60</w:t>
        <w:br/>
        <w:br/>
        <w:t>Клинические рекомендации (протоколы лечения) при диагнозе болезни периапикальных тканей. Утверждены Постановлением № 18 Совета Ассоциации общественных объединений «Стоматологическая Ассоциация России» от 30 сентября 2014 года</w:t>
        <w:br/>
        <w:br/>
      </w:r>
      <w:hyperlink r:id="rId20">
        <w:r>
          <w:rPr>
            <w:color w:val="173C49"/>
            <w:u w:val="single"/>
          </w:rPr>
          <w:t>КЛИНИЧЕСКИЕ РЕКОМЕНДАЦИИ (ПРОТОКОЛЫ ЛЕЧЕНИЯ) ПРИ ДИАГНОЗЕ БОЛЕЗНИ ПЕРИАПИКАЛЬНЫХ ТКАНЕЙ. Утверждены Постановлением № 18 Совета Ассоциации общественных объединений «Стоматологическая Ассоциация России» от 30 сентября 2014 года, актуализированы 02 августа 2018 года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</w:p>
    <w:p>
      <w:r>
        <w:br w:type="page"/>
      </w:r>
    </w:p>
    <w:p>
      <w:pPr>
        <w:pStyle w:val="Heading1"/>
      </w:pPr>
      <w:bookmarkStart w:id="1002" w:name="case_0002"/>
      <w:r>
        <w:t>Ситуационная задача 0002</w:t>
      </w:r>
      <w:bookmarkEnd w:id="1002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Стоматология ортопедическая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 стоматологическую клинику обратилась пациентка А. 28 лет.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</w:t>
      </w:r>
    </w:p>
    <w:p>
      <w:pPr>
        <w:spacing w:after="58"/>
      </w:pPr>
      <w:r>
        <w:rPr>
          <w:b w:val="0"/>
          <w:i w:val="0"/>
        </w:rPr>
        <w:t>* изменение цвета,</w:t>
      </w:r>
    </w:p>
    <w:p>
      <w:pPr>
        <w:spacing w:after="58"/>
      </w:pPr>
      <w:r>
        <w:rPr>
          <w:b w:val="0"/>
          <w:i w:val="0"/>
        </w:rPr>
        <w:t>* наличие пятен на фронтальных зубах верхней челюсти.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Пятна на 1.1, 2.1 зубах появились с момента прорезывания.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Работает.</w:t>
      </w:r>
    </w:p>
    <w:p>
      <w:pPr>
        <w:spacing w:after="58"/>
      </w:pPr>
      <w:r>
        <w:rPr>
          <w:b w:val="0"/>
          <w:i w:val="0"/>
        </w:rPr>
        <w:t>* Росла и развивалась соответственно возрасту.</w:t>
      </w:r>
    </w:p>
    <w:p>
      <w:pPr>
        <w:spacing w:after="58"/>
      </w:pPr>
      <w:r>
        <w:rPr>
          <w:b w:val="0"/>
          <w:i w:val="0"/>
        </w:rPr>
        <w:t>* Со слов пациентки, туберкулез, ВИЧ, Гепатит, отрицает.</w:t>
      </w:r>
    </w:p>
    <w:p>
      <w:pPr>
        <w:spacing w:after="58"/>
      </w:pPr>
      <w:r>
        <w:rPr>
          <w:b w:val="0"/>
          <w:i w:val="0"/>
        </w:rPr>
        <w:t>* Аллергические реакции отрицает.</w:t>
      </w:r>
    </w:p>
    <w:p>
      <w:pPr>
        <w:spacing w:after="58"/>
      </w:pPr>
      <w:r>
        <w:rPr>
          <w:b w:val="0"/>
          <w:i w:val="0"/>
        </w:rPr>
        <w:t>* Вредные привычки - курит.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*Внешний осмотр:* конфигурация лица не изменена, регионарные лимфатические узлы не пальпируются.</w:t>
      </w:r>
    </w:p>
    <w:p>
      <w:pPr>
        <w:spacing w:after="58"/>
      </w:pPr>
      <w:r>
        <w:rPr>
          <w:b w:val="0"/>
          <w:i w:val="0"/>
        </w:rPr>
        <w:t>*Осмотр полости рта.*</w:t>
      </w:r>
    </w:p>
    <w:p>
      <w:pPr>
        <w:spacing w:after="58"/>
      </w:pPr>
      <w:r>
        <w:rPr>
          <w:b w:val="0"/>
          <w:i w:val="0"/>
        </w:rPr>
        <w:t>*Зубная формула:*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632"/>
        <w:gridCol w:w="632"/>
        <w:gridCol w:w="632"/>
        <w:gridCol w:w="632"/>
        <w:gridCol w:w="632"/>
        <w:gridCol w:w="632"/>
        <w:gridCol w:w="632"/>
        <w:gridCol w:w="632"/>
        <w:gridCol w:w="632"/>
        <w:gridCol w:w="632"/>
        <w:gridCol w:w="632"/>
        <w:gridCol w:w="632"/>
        <w:gridCol w:w="632"/>
        <w:gridCol w:w="632"/>
        <w:gridCol w:w="632"/>
        <w:gridCol w:w="632"/>
      </w:tblGrid>
      <w:tr>
        <w:trPr>
          <w:tblHeader w:val="true"/>
        </w:trPr>
        <w:tc>
          <w:tcPr>
            <w:tcW w:type="dxa" w:w="632"/>
          </w:tcPr>
          <w:p>
            <w:r>
              <w:rPr>
                <w:b/>
                <w:i w:val="0"/>
              </w:rPr>
              <w:t>О</w:t>
            </w:r>
          </w:p>
        </w:tc>
        <w:tc>
          <w:tcPr>
            <w:tcW w:type="dxa" w:w="632"/>
          </w:tcPr>
          <w:p>
            <w:r>
              <w:rPr>
                <w:b/>
                <w:i w:val="0"/>
              </w:rPr>
              <w:t>К</w:t>
            </w:r>
          </w:p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</w:tr>
      <w:tr>
        <w:tc>
          <w:tcPr>
            <w:tcW w:type="dxa" w:w="632"/>
          </w:tcPr>
          <w:p>
            <w:r>
              <w:rPr>
                <w:b w:val="0"/>
                <w:i w:val="0"/>
              </w:rPr>
              <w:t>1.8|1.7|</w:t>
            </w:r>
          </w:p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1.5</w:t>
            </w:r>
          </w:p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1.4|1.3|1.2|1.1</w:t>
            </w:r>
          </w:p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2.1|2.2|2.3|2.4|2.5</w:t>
            </w:r>
          </w:p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2.6|2.7|2.8</w:t>
            </w:r>
          </w:p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4.8|4.7</w:t>
            </w:r>
          </w:p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4.6|4.5</w:t>
            </w:r>
          </w:p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4.4|4.3|4.2|4.1</w:t>
            </w:r>
          </w:p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3.1|3.2</w:t>
            </w:r>
          </w:p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3.3|3.4</w:t>
            </w:r>
          </w:p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3.5|3.6</w:t>
            </w:r>
          </w:p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3.7|3.8</w:t>
            </w:r>
          </w:p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О</w:t>
            </w:r>
          </w:p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</w:tr>
      <w:tr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О</w:t>
            </w:r>
          </w:p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</w:tr>
    </w:tbl>
    <w:p/>
    <w:p>
      <w:pPr>
        <w:spacing w:after="58"/>
      </w:pPr>
      <w:r>
        <w:rPr>
          <w:b w:val="0"/>
          <w:i w:val="0"/>
        </w:rPr>
        <w:t>Слизистая оболочка рта бледно-розового цвета, умеренно увлажнена.</w:t>
      </w:r>
    </w:p>
    <w:p>
      <w:pPr>
        <w:spacing w:after="58"/>
      </w:pPr>
      <w:r>
        <w:rPr>
          <w:b w:val="0"/>
          <w:i w:val="0"/>
        </w:rPr>
        <w:t>*Прикус:* ортогнатический.</w:t>
      </w:r>
    </w:p>
    <w:p>
      <w:pPr>
        <w:spacing w:after="58"/>
      </w:pPr>
      <w:r>
        <w:rPr>
          <w:b w:val="0"/>
          <w:i w:val="0"/>
        </w:rPr>
        <w:t>*Локальный статус:*</w:t>
      </w:r>
    </w:p>
    <w:p>
      <w:pPr>
        <w:spacing w:after="58"/>
      </w:pPr>
      <w:r>
        <w:rPr>
          <w:b w:val="0"/>
          <w:i w:val="0"/>
        </w:rPr>
        <w:t>на 1.1, 2.1 зубах имеются множественные меловидные пятна. Отмечаются борозды на вестибулярной части зуба.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Для выбора тактики лечения данной пациентки необходимо использовать дополнительные методы обследования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электроодонтометрию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электромиографию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внутриротовую контактную рентгенографию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телерентгенографию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аксиографию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электроодонтометрию; 3 — внутриротовую контактную рентгенографию</w:t>
      </w:r>
    </w:p>
    <w:p>
      <w:pPr>
        <w:ind w:left="504"/>
      </w:pPr>
      <w:r>
        <w:rPr>
          <w:b w:val="0"/>
          <w:i/>
        </w:rPr>
        <w:t>Проводят при наличии патологической стираемости, клиновидных дефектах, расширении периодонтальной щели, вторичной деформации зубных рядов и т. д., перед началом препарирования зубов под коронки для определения необходимости депульпирования. При работе с зубами с витальной пульпой электроодонтодиагностику необходимо проводить до начала лечения, не ранее чем через три дня после препарирования и перед фиксацией несъемной конструкции на постоянный цемент для определения необходимости депульпирования при развитии воспалительного процесса в результате препарирования</w:t>
        <w:br/>
        <w:br/>
        <w:t>Клинические рекомендации (протоколы лечения) «Частичное отсутствие зубов (частичная вторичная адентия, потеря зубов вследствие несчастного случая, удаления или локализованного пародонтита)»</w:t>
        <w:br/>
        <w:t xml:space="preserve"> Утверждены Постановлением № 15 Совета Ассоциации общественных объединений «Стоматологическая Ассоциация России» от 30 сентября 2014 года</w:t>
        <w:br/>
        <w:br/>
      </w:r>
      <w:hyperlink r:id="rId27">
        <w:r>
          <w:rPr>
            <w:color w:val="173C49"/>
            <w:u w:val="single"/>
          </w:rPr>
          <w:t>КЛИНИЧЕСКИЕ РЕКОМЕНДАЦИИ (ПРОТОКОЛЫ ЛЕЧЕНИЯ) ПРИ ДИАГНОЗЕ ЧАСТИЧНОЕ ОТСУТСТВИЕ ЗУБОВ (ЧАСТИЧНАЯ ВТОРИЧНАЯ АДЕНТИЯ, ПОТЕРЯ ЗУБОВ ВСЛЕДСТВИЕ НЕСЧАСТНО ГО СЛУЧАЯ, УДАЛЕНИЯ ИЛИ ЛОКАЛИЗОВАННОГО ПАРОДОНТИТА) Утверждены Постановлением № 15 Совета Ассоциации общественных объединений «Стоматологическая Ассоциация России» от 30 сентября 2014 года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 xml:space="preserve">Для помощи в постановке диагноза. Помогает выявить воспалительный процесс, протекающий в области верхушек корней зубов. </w:t>
        <w:br/>
        <w:br/>
        <w:t>Ортопедическая стоматология / под ред. И. Ю. Лебеденко, С. Д. Арутюнова, А. Н. Ряховского - Москва : ГЭОТАР-Медиа, 2016. - 824 с. - ISBN 978-5-9704-3582-3</w:t>
        <w:br/>
        <w:br/>
      </w:r>
      <w:hyperlink r:id="rId36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Основным диагнозом в данной клинической ситуации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Наследственные нарушения структуры зуба, не классифицированные в других рубриках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Нарушения формирования зубов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Крапчатые зубы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Кариес эмали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Нарушения формирования зубов</w:t>
      </w:r>
    </w:p>
    <w:p>
      <w:pPr>
        <w:ind w:left="504"/>
      </w:pPr>
      <w:r>
        <w:rPr>
          <w:b w:val="0"/>
          <w:i/>
        </w:rPr>
        <w:t>Гипоплазия (hypoplasia) - порок развития, заключающийся в недоразвитии зуба или его тканей</w:t>
        <w:br/>
        <w:br/>
        <w:t>Терапевтическая стоматология : национальное руководство / под ред. Л. А. Дмитриевой, Ю. М. Максимовского. - 2-е изд., перераб. и доп. - Москва : ГЭОТАР-Медиа, 2021 ISBN 978-5-9704-6097-9</w:t>
        <w:br/>
        <w:br/>
      </w:r>
      <w:hyperlink r:id="rId37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Наиболее оптимальным вариантом ортопедического лечения 1.1, 2.1 зубов в данной клинической ситуации является изготовление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бюгельного протеза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керамических виниров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керамической вкладки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культевой штифтовой вкладки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керамических виниров</w:t>
      </w:r>
    </w:p>
    <w:p>
      <w:pPr>
        <w:ind w:left="504"/>
      </w:pPr>
      <w:r>
        <w:rPr>
          <w:b w:val="0"/>
          <w:i/>
        </w:rPr>
        <w:t>Виниры устанавливаются только на фронтальные зубы с целью восстановления эстетики зубного ряда.</w:t>
        <w:br/>
        <w:br/>
        <w:t>Ортопедическая стоматология / под ред. И. Ю. Лебеденко, С. Д. Арутюнова, А. Н. Ряховского - Москва : ГЭОТАР-Медиа, 2016. - 824 с. - ISBN 978-5-9704-3582-3</w:t>
        <w:br/>
        <w:br/>
      </w:r>
      <w:hyperlink r:id="rId3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К показанию для применения виниров у данной пациентки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эстетические дефекты зубов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генерализованный пародонтит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частичную вторичную адентию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полный дефект коронковой части зуба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эстетические дефекты зубов</w:t>
      </w:r>
    </w:p>
    <w:p>
      <w:pPr>
        <w:ind w:left="504"/>
      </w:pPr>
      <w:r>
        <w:rPr>
          <w:b w:val="0"/>
          <w:i/>
        </w:rPr>
        <w:t>Показаниями к применению виниров являются эстетические дефекты зубов три наличии достаточной площади сохранившейся эмали.</w:t>
        <w:br/>
        <w:br/>
        <w:t>Ортопедическая стоматология : национальное руководство : в 2 т. / под ред. И.Ю. Лебеденко, С.Д. Арутюнова, А.Н. Ряховского. - 2-е изд., перераб. и доп. - Москва : ГЭОТАР-Медиа, 2022. - Т. 2. - 416 с. : ил. - (Серия "Национальные руководства"). - DOI: 10.33029/9704-6367-3-OD2-2022-1-416. - ISBN 978-5-9704-6367-3.</w:t>
        <w:br/>
        <w:br/>
      </w:r>
      <w:hyperlink r:id="rId3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При изготовлении виниров в данной клинической ситуации препарирование тканей зуба проводится в пределах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дентина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эмали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цемента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пульпы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эмали</w:t>
      </w:r>
    </w:p>
    <w:p>
      <w:pPr>
        <w:ind w:left="504"/>
      </w:pPr>
      <w:r>
        <w:rPr>
          <w:b w:val="0"/>
          <w:i/>
        </w:rPr>
        <w:t>При изготовлении виниров препарирование тканей зуба проводится только в пределах эмали.</w:t>
        <w:br/>
        <w:br/>
        <w:t>Ортопедическая стоматология / под ред. И. Ю. Лебеденко, С. Д. Арутюнова, А. Н. Ряховского - Москва : ГЭОТАР-Медиа, 2016. - 824 с. - ISBN 978-5-9704-3582-3</w:t>
        <w:br/>
        <w:br/>
      </w:r>
      <w:hyperlink r:id="rId4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При препарировании зуба для изготовления винира сошлифовывают +________+ мм твёрдых тканей зуба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0,8-0,9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0,3-1,0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0,9-1,0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0,1-0,2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0,3-1,0</w:t>
      </w:r>
    </w:p>
    <w:p>
      <w:pPr>
        <w:ind w:left="504"/>
      </w:pPr>
      <w:r>
        <w:rPr>
          <w:b w:val="0"/>
          <w:i/>
        </w:rPr>
        <w:t>При препарировании следует обращать особое внимание на глубину: сошлифовывают 0,3-1,0 мм твёрдых тканей зуба.</w:t>
        <w:br/>
        <w:br/>
        <w:t>Ортопедическая стоматология. Том 1 : национальное руководство : в 2 т. / под ред. И.Ю. Лебеденко, С.Д. Арутюнова, А.Н. Ряховского. - 2-е изд. , перераб. и доп. - Москва : ГЭОТАР-Медиа, 2022. - 520 с. (Серия "Национальные руководства") - ISBN 978-5-9704-6366-6</w:t>
        <w:br/>
        <w:br/>
      </w:r>
      <w:hyperlink r:id="rId4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Для изготовления виниров пациентка может выбрать керамику или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базисную пластмассу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моделировочный воск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беззольную пластмассу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композитные материалы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композитные материалы</w:t>
      </w:r>
    </w:p>
    <w:p>
      <w:pPr>
        <w:ind w:left="504"/>
      </w:pPr>
      <w:r>
        <w:rPr>
          <w:b w:val="0"/>
          <w:i/>
        </w:rPr>
        <w:t>Виниры изготавливаются из стоматологической керамики или композитных материалов.</w:t>
        <w:br/>
        <w:br/>
        <w:t>Ортопедическая стоматология / под ред. И. Ю. Лебеденко, С. Д. Арутюнова, А. Н. Ряховского - Москва : ГЭОТАР-Медиа, 2016. - 824 с. - ISBN 978-5-9704-3582-3</w:t>
        <w:br/>
        <w:br/>
      </w:r>
      <w:hyperlink r:id="rId3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Для снятия оттиска при изготовлении виниров в данной клинической ситуации будут использовать +_____________+ оттискные массы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силиконовые двухслойные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термопластические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цинкоксидэвгенольные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тиоколовые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силиконовые двухслойные</w:t>
      </w:r>
    </w:p>
    <w:p>
      <w:pPr>
        <w:ind w:left="504"/>
      </w:pPr>
      <w:r>
        <w:rPr>
          <w:b w:val="0"/>
          <w:i/>
        </w:rPr>
        <w:t>При изготовлении виниров используют силиконовые двухслойные оттискные массы.</w:t>
        <w:br/>
        <w:br/>
        <w:t>Ортопедическая стоматология : национальное руководство : в 2 т. / под ред. И.Ю. Лебеденко, С.Д. Арутюнова, А.Н. Ряховского. - 2-е изд., перераб. и доп. - Москва : ГЭОТАР-Медиа, 2022. - Т. 2. - 416 с. : ил. - (Серия "Национальные руководства"). - DOI: 10.33029/9704-6367-3-OD2-2022-1-416. - ISBN 978-5-9704-6367-3.</w:t>
        <w:br/>
        <w:br/>
      </w:r>
      <w:hyperlink r:id="rId4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При изготовлении керамических виниров оттиск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двухэтапный однослойный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функциональный однослойный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одноэтапный однослойный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одноэтапный двуслойный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одноэтапный двуслойный</w:t>
      </w:r>
    </w:p>
    <w:p>
      <w:pPr>
        <w:ind w:left="504"/>
      </w:pPr>
      <w:r>
        <w:rPr>
          <w:b w:val="0"/>
          <w:i/>
        </w:rPr>
        <w:t>Одноэтапный метод можно эффективно использовать при наддесневом расположении границ препарирования. Широкое распространение этот метод получил при микропротезировании.</w:t>
        <w:br/>
        <w:br/>
        <w:t>Ортопедическая стоматология : национальное руководство : в 2 т. / под ред. И.Ю. Лебеденко, С.Д. Арутюнова, А.Н. Ряховского. - 2-е изд., перераб. и доп. - Москва : ГЭОТАР-Медиа, 2022. - Т. 2. - 416 с. : ил. - (Серия "Национальные руководства"). - DOI: 10.33029/9704-6367-3-OD2-2022-1-416. - ISBN 978-5-9704-6367-3.</w:t>
        <w:br/>
        <w:br/>
      </w:r>
      <w:hyperlink r:id="rId4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Для фиксации виниров в данной клинической ситуации используют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цинкполикарбоксилатный цемент химического отверждения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цинкфосфатный цемент химического отверждения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композитный материал двойного отверждения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стеклоиономерный цемент химического отверждения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композитный материал двойного отверждения</w:t>
      </w:r>
    </w:p>
    <w:p>
      <w:pPr>
        <w:ind w:left="504"/>
      </w:pPr>
      <w:r>
        <w:rPr>
          <w:b w:val="0"/>
          <w:i/>
        </w:rPr>
        <w:t>Проводится фиксация винира на композитный материал для цементирования двойного отверждения.</w:t>
        <w:br/>
        <w:br/>
        <w:t>Ортопедическая стоматология / под ред. И. Ю. Лебеденко, С. Д. Арутюнова, А. Н. Ряховского - Москва : ГЭОТАР-Медиа, 2016. - 824 с. - ISBN 978-5-9704-3582-3</w:t>
        <w:br/>
        <w:br/>
      </w:r>
      <w:hyperlink r:id="rId40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Для цементировки виниров у пациентки используют фиксацию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винтовую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адгезивную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самоадгезивную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традиционную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адгезивную</w:t>
      </w:r>
    </w:p>
    <w:p>
      <w:pPr>
        <w:ind w:left="504"/>
      </w:pPr>
      <w:r>
        <w:rPr>
          <w:b w:val="0"/>
          <w:i/>
        </w:rPr>
        <w:t>Для фиксации виниров необходимо использовать исключительно адгезивную фиксацию, поскольку препарирование в этом случае не является ретенционным.</w:t>
        <w:br/>
        <w:br/>
        <w:t>Ортопедическая стоматология : национальное руководство : в 2 т. / под ред. И.Ю. Лебеденко, С.Д. Арутюнова, А.Н. Ряховского. - 2-е изд., перераб. и доп. - Москва : ГЭОТАР-Медиа, 2022. - Т. 2. - 416 с. : ил. - (Серия "Национальные руководства"). - DOI: 10.33029/9704-6367-3-OD2-2022-1-416. - ISBN 978-5-9704-6367-3.</w:t>
        <w:br/>
        <w:br/>
      </w:r>
      <w:hyperlink r:id="rId4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Анализ окклюзионно-мышечной нагрузки   в данной клинической ситуации после фиксации виниров проводят с помощью синхронизированных аппаратов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Reference SL и MIO-STIM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T-scan и MIO-STIM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BioPak-ЭМГ и Reference SL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T-scan и BioPak-ЭМГ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T-scan и BioPak-ЭМГ</w:t>
      </w:r>
    </w:p>
    <w:p>
      <w:pPr>
        <w:ind w:left="504"/>
      </w:pPr>
      <w:r>
        <w:rPr>
          <w:b w:val="0"/>
          <w:i/>
        </w:rPr>
        <w:t>После фиксации несъёмных конструкций на постоянный цемент приступают к анализу окклюзионно-мышечной нагрузки с помощью синхронизированных аппаратов T-scan и BioPak-ЭМГ.</w:t>
        <w:br/>
        <w:br/>
        <w:t>Ортопедическая стоматология : национальное руководство : в 2 т. / под ред. И.Ю. Лебеденко, С.Д. Арутюнова, А.Н. Ряховского. - 2-е изд., перераб. и доп. - Москва : ГЭОТАР-Медиа, 2022. - Т. 2. - 416 с. : ил. - (Серия "Национальные руководства"). - DOI: 10.33029/9704-6367-3-OD2-2022-1-416. - ISBN 978-5-9704-6367-3.</w:t>
        <w:br/>
        <w:br/>
      </w:r>
      <w:hyperlink r:id="rId44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Стоматология ортопедическая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6_periapikal_8aug2018/" TargetMode="External"/><Relationship Id="rId21" Type="http://schemas.openxmlformats.org/officeDocument/2006/relationships/hyperlink" Target="https://library.mededtech.ru/rest/documents/6_periapikal_8aug2018/#table_i7i60" TargetMode="External"/><Relationship Id="rId22" Type="http://schemas.openxmlformats.org/officeDocument/2006/relationships/image" Target="media/image5.png"/><Relationship Id="rId23" Type="http://schemas.openxmlformats.org/officeDocument/2006/relationships/hyperlink" Target="https://library.mededtech.ru/rest/documents/6_periapikal_8aug2018/#table_qjukp" TargetMode="External"/><Relationship Id="rId24" Type="http://schemas.openxmlformats.org/officeDocument/2006/relationships/image" Target="media/image6.png"/><Relationship Id="rId25" Type="http://schemas.openxmlformats.org/officeDocument/2006/relationships/hyperlink" Target="https://library.mededtech.ru/rest/documents/6_periapikal_8aug2018/#paragraph_3bt1e" TargetMode="External"/><Relationship Id="rId26" Type="http://schemas.openxmlformats.org/officeDocument/2006/relationships/hyperlink" Target="https://library.mededtech.ru/rest/documents/6_periapikal_8aug2018/#paragraph_j714c" TargetMode="External"/><Relationship Id="rId27" Type="http://schemas.openxmlformats.org/officeDocument/2006/relationships/hyperlink" Target="https://library.mededtech.ru/rest/documents/7_part_absent/" TargetMode="External"/><Relationship Id="rId28" Type="http://schemas.openxmlformats.org/officeDocument/2006/relationships/hyperlink" Target="https://library.mededtech.ru/rest/documents/7_part_absent/#paragraph_rmbrv" TargetMode="External"/><Relationship Id="rId29" Type="http://schemas.openxmlformats.org/officeDocument/2006/relationships/hyperlink" Target="https://library.mededtech.ru/rest/documents/6_periapikal_8aug2018/#table_g57vr" TargetMode="External"/><Relationship Id="rId30" Type="http://schemas.openxmlformats.org/officeDocument/2006/relationships/image" Target="media/image7.png"/><Relationship Id="rId31" Type="http://schemas.openxmlformats.org/officeDocument/2006/relationships/hyperlink" Target="https://library.mededtech.ru/rest/documents/6_periapikal_8aug2018/#list_item_963l2" TargetMode="External"/><Relationship Id="rId32" Type="http://schemas.openxmlformats.org/officeDocument/2006/relationships/hyperlink" Target="https://library.mededtech.ru/rest/documents/6_periapikal_8aug2018/#paragraph_bbs77" TargetMode="External"/><Relationship Id="rId33" Type="http://schemas.openxmlformats.org/officeDocument/2006/relationships/hyperlink" Target="https://library.mededtech.ru/rest/documents/6_periapikal_8aug2018/#7_2_11_&#1090;&#1088;&#1077;&#1073;&#1086;&#1074;&#1072;&#1085;&#1080;&#1103;_&#1082;_&#1076;&#1080;&#1077;&#1090;&#1080;&#1095;&#1077;&#1089;&#1082;&#1080;&#1084;_&#1085;&#1072;&#1079;&#1085;&#1072;&#1095;&#1077;&#1085;&#1080;&#1103;&#1084;_&#1080;_&#1086;&#1075;&#1088;&#1072;&#1085;&#1080;&#1095;&#1077;&#1085;&#1080;&#1103;&#1084;" TargetMode="External"/><Relationship Id="rId34" Type="http://schemas.openxmlformats.org/officeDocument/2006/relationships/hyperlink" Target="https://library.mededtech.ru/rest/documents/6_periapikal_8aug2018/#7_2_15_&#1074;&#1086;&#1079;&#1084;&#1086;&#1078;&#1085;&#1099;&#1077;_&#1080;&#1089;&#1093;&#1086;&#1076;&#1099;_&#1080;_&#1080;&#1093;_&#1093;&#1072;&#1088;&#1072;&#1082;&#1090;&#1077;&#1088;&#1080;&#1089;&#1090;&#1080;&#1082;&#1080;" TargetMode="External"/><Relationship Id="rId35" Type="http://schemas.openxmlformats.org/officeDocument/2006/relationships/hyperlink" Target="https://library.mededtech.ru/rest/documents/7_part_absent/index.html#paragraph_dbbvq" TargetMode="External"/><Relationship Id="rId36" Type="http://schemas.openxmlformats.org/officeDocument/2006/relationships/hyperlink" Target="https://library.mededtech.ru/rest/documents/ISBN9785970435823/?anchor=paragraph_t51ldc#paragraph_t51ldc" TargetMode="External"/><Relationship Id="rId37" Type="http://schemas.openxmlformats.org/officeDocument/2006/relationships/hyperlink" Target="https://library.mededtech.ru/rest/documents/ISBN9785970460979/?anchor=&#1053;&#1040;&#1056;&#1059;&#1064;&#1045;&#1053;&#1048;&#1071;_&#1060;&#1054;&#1056;&#1052;&#1048;&#1056;&#1054;&#1042;&#1040;&#1053;&#1048;&#1071;_&#1047;&#1059;&#1041;&#1054;&#1042;#&#1053;&#1040;&#1056;&#1059;&#1064;&#1045;&#1053;&#1048;&#1071;_&#1060;&#1054;&#1056;&#1052;&#1048;&#1056;&#1054;&#1042;&#1040;&#1053;&#1048;&#1071;_&#1047;&#1059;&#1041;&#1054;&#1042;" TargetMode="External"/><Relationship Id="rId38" Type="http://schemas.openxmlformats.org/officeDocument/2006/relationships/hyperlink" Target="https://library.mededtech.ru/rest/documents/ISBN9785970435823/?anchor=paragraph_ga8r6d#paragraph_ga8r6d" TargetMode="External"/><Relationship Id="rId39" Type="http://schemas.openxmlformats.org/officeDocument/2006/relationships/hyperlink" Target="https://library.mededtech.ru/rest/documents/ISBN9785970463673/?anchor=&#1055;&#1086;&#1082;&#1072;&#1079;&#1072;&#1085;&#1080;&#1103;_8#&#1055;&#1086;&#1082;&#1072;&#1079;&#1072;&#1085;&#1080;&#1103;_8" TargetMode="External"/><Relationship Id="rId40" Type="http://schemas.openxmlformats.org/officeDocument/2006/relationships/hyperlink" Target="https://library.mededtech.ru/rest/documents/ISBN9785970435823/?anchor=paragraph_ndvem6#paragraph_ndvem6" TargetMode="External"/><Relationship Id="rId41" Type="http://schemas.openxmlformats.org/officeDocument/2006/relationships/hyperlink" Target="https://library.mededtech.ru/rest/documents/ISBN9785970463666/?anchor=paragraph_v690jf#paragraph_v690jf" TargetMode="External"/><Relationship Id="rId42" Type="http://schemas.openxmlformats.org/officeDocument/2006/relationships/hyperlink" Target="https://library.mededtech.ru/rest/documents/ISBN9785970463673/?anchor=paragraph_6b9co2#paragraph_6b9co2" TargetMode="External"/><Relationship Id="rId43" Type="http://schemas.openxmlformats.org/officeDocument/2006/relationships/hyperlink" Target="https://library.mededtech.ru/rest/documents/ISBN9785970463673/?anchor=paragraph_0vq8cs#paragraph_0vq8cs" TargetMode="External"/><Relationship Id="rId44" Type="http://schemas.openxmlformats.org/officeDocument/2006/relationships/hyperlink" Target="https://library.mededtech.ru/rest/documents/ISBN9785970463673/?anchor=list_item_hjin8o#list_item_hjin8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